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0142" w14:textId="4091C6E4" w:rsidR="00783CFD" w:rsidRDefault="009D1B48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Broadlake Farm</w:t>
      </w:r>
    </w:p>
    <w:p w14:paraId="5B2CC213" w14:textId="77777777" w:rsidR="009D1B48" w:rsidRDefault="009D1B48" w:rsidP="009D1B48">
      <w:pPr>
        <w:jc w:val="left"/>
        <w:rPr>
          <w:sz w:val="26"/>
          <w:szCs w:val="26"/>
          <w:u w:val="single"/>
        </w:rPr>
      </w:pPr>
    </w:p>
    <w:p w14:paraId="630FCC94" w14:textId="61DCE29B" w:rsidR="009D1B48" w:rsidRPr="009D1B48" w:rsidRDefault="009D1B48" w:rsidP="009D1B48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Broadlake was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</w:t>
      </w:r>
      <w:r w:rsidR="00726AC0">
        <w:rPr>
          <w:sz w:val="26"/>
          <w:szCs w:val="26"/>
        </w:rPr>
        <w:t xml:space="preserve">originally a </w:t>
      </w:r>
      <w:r>
        <w:rPr>
          <w:sz w:val="26"/>
          <w:szCs w:val="26"/>
        </w:rPr>
        <w:t>farm house</w:t>
      </w:r>
      <w:r w:rsidR="00726AC0">
        <w:rPr>
          <w:sz w:val="26"/>
          <w:szCs w:val="26"/>
        </w:rPr>
        <w:t xml:space="preserve"> but had become a private dwelling by 1951</w:t>
      </w:r>
      <w:r>
        <w:rPr>
          <w:sz w:val="26"/>
          <w:szCs w:val="26"/>
        </w:rPr>
        <w:t xml:space="preserve">. </w:t>
      </w:r>
    </w:p>
    <w:p w14:paraId="767F434B" w14:textId="59638305" w:rsidR="00726AC0" w:rsidRDefault="00726AC0">
      <w:pPr>
        <w:rPr>
          <w:sz w:val="26"/>
          <w:szCs w:val="26"/>
        </w:rPr>
      </w:pPr>
      <w:r w:rsidRPr="009D1B48">
        <w:rPr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BCFEA39" wp14:editId="59A636B9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5248275" cy="3345815"/>
            <wp:effectExtent l="0" t="0" r="9525" b="6985"/>
            <wp:wrapTight wrapText="bothSides">
              <wp:wrapPolygon edited="0">
                <wp:start x="0" y="0"/>
                <wp:lineTo x="0" y="21522"/>
                <wp:lineTo x="21561" y="21522"/>
                <wp:lineTo x="21561" y="0"/>
                <wp:lineTo x="0" y="0"/>
              </wp:wrapPolygon>
            </wp:wrapTight>
            <wp:docPr id="1910063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6321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0B27B" w14:textId="2D8B7064" w:rsidR="009D1B48" w:rsidRDefault="009D1B48">
      <w:pPr>
        <w:rPr>
          <w:sz w:val="26"/>
          <w:szCs w:val="26"/>
        </w:rPr>
      </w:pPr>
      <w:r>
        <w:rPr>
          <w:sz w:val="26"/>
          <w:szCs w:val="26"/>
        </w:rPr>
        <w:t>Broadlake in 1977</w:t>
      </w:r>
    </w:p>
    <w:p w14:paraId="57E505F3" w14:textId="1853F7F2" w:rsidR="009D1B48" w:rsidRDefault="009D1B48">
      <w:pPr>
        <w:rPr>
          <w:sz w:val="26"/>
          <w:szCs w:val="26"/>
        </w:rPr>
      </w:pPr>
    </w:p>
    <w:p w14:paraId="1EF86CEB" w14:textId="00AC1206" w:rsidR="009D1B48" w:rsidRDefault="009D1B48" w:rsidP="009D1B48">
      <w:pPr>
        <w:jc w:val="left"/>
        <w:rPr>
          <w:sz w:val="26"/>
          <w:szCs w:val="26"/>
        </w:rPr>
      </w:pPr>
      <w:r>
        <w:rPr>
          <w:sz w:val="26"/>
          <w:szCs w:val="26"/>
        </w:rPr>
        <w:t>Broadlake was pulled down in 1978, with the developer taking swift action before local opposition to its removal could be properly organised.  Broadlake Cottage still remains.</w:t>
      </w:r>
    </w:p>
    <w:p w14:paraId="5D55FEB9" w14:textId="7AB147E7" w:rsidR="009D1B48" w:rsidRDefault="009D1B48" w:rsidP="009D1B48">
      <w:pPr>
        <w:jc w:val="left"/>
        <w:rPr>
          <w:sz w:val="26"/>
          <w:szCs w:val="26"/>
        </w:rPr>
      </w:pPr>
    </w:p>
    <w:p w14:paraId="46520B67" w14:textId="11A4CBD1" w:rsidR="009D1B48" w:rsidRDefault="009D1B48" w:rsidP="009D1B48">
      <w:pPr>
        <w:jc w:val="left"/>
        <w:rPr>
          <w:sz w:val="26"/>
          <w:szCs w:val="26"/>
        </w:rPr>
      </w:pPr>
      <w:r>
        <w:rPr>
          <w:sz w:val="26"/>
          <w:szCs w:val="26"/>
        </w:rPr>
        <w:t>The new estate was developed and the Willaston Residents’ Committee was consulted on the names for the estate.  They responded as follows:</w:t>
      </w:r>
    </w:p>
    <w:p w14:paraId="7A2BC8D2" w14:textId="703419BB" w:rsidR="009D1B48" w:rsidRPr="009D1B48" w:rsidRDefault="009D1B48" w:rsidP="009D1B48">
      <w:pPr>
        <w:ind w:left="720"/>
        <w:jc w:val="lef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We did feel it was a bit confusing to have three </w:t>
      </w:r>
      <w:proofErr w:type="spellStart"/>
      <w:r>
        <w:rPr>
          <w:i/>
          <w:iCs/>
          <w:sz w:val="26"/>
          <w:szCs w:val="26"/>
        </w:rPr>
        <w:t>Broadlakes</w:t>
      </w:r>
      <w:proofErr w:type="spellEnd"/>
      <w:r>
        <w:rPr>
          <w:i/>
          <w:iCs/>
          <w:sz w:val="26"/>
          <w:szCs w:val="26"/>
        </w:rPr>
        <w:t xml:space="preserve">.  No one fancied Broadlake Mews.  Mews simply is not a local use. Johnston Close was suggested – Mrs Johnston being a past beneficiary to the village who gave the recreation ground and Church Hall to Willaston.  Other names associated with Broadlake itself are </w:t>
      </w:r>
      <w:proofErr w:type="spellStart"/>
      <w:r>
        <w:rPr>
          <w:i/>
          <w:iCs/>
          <w:sz w:val="26"/>
          <w:szCs w:val="26"/>
        </w:rPr>
        <w:t>Oakshott</w:t>
      </w:r>
      <w:proofErr w:type="spellEnd"/>
      <w:r>
        <w:rPr>
          <w:i/>
          <w:iCs/>
          <w:sz w:val="26"/>
          <w:szCs w:val="26"/>
        </w:rPr>
        <w:t xml:space="preserve"> and Stern.  What about Broadlake as the generic name, Broadlake Way and Johnston or </w:t>
      </w:r>
      <w:proofErr w:type="spellStart"/>
      <w:r>
        <w:rPr>
          <w:i/>
          <w:iCs/>
          <w:sz w:val="26"/>
          <w:szCs w:val="26"/>
        </w:rPr>
        <w:t>Oackshott</w:t>
      </w:r>
      <w:proofErr w:type="spellEnd"/>
      <w:r>
        <w:rPr>
          <w:i/>
          <w:iCs/>
          <w:sz w:val="26"/>
          <w:szCs w:val="26"/>
        </w:rPr>
        <w:t xml:space="preserve"> Close?</w:t>
      </w:r>
    </w:p>
    <w:sectPr w:rsidR="009D1B48" w:rsidRPr="009D1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48"/>
    <w:rsid w:val="00087257"/>
    <w:rsid w:val="001926E3"/>
    <w:rsid w:val="004F1782"/>
    <w:rsid w:val="005906A4"/>
    <w:rsid w:val="00726AC0"/>
    <w:rsid w:val="009D1B48"/>
    <w:rsid w:val="00E414A1"/>
    <w:rsid w:val="00E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4C08"/>
  <w15:chartTrackingRefBased/>
  <w15:docId w15:val="{07E8D332-748B-4930-9C70-2D7F93F0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Shannon</dc:creator>
  <cp:keywords/>
  <dc:description/>
  <cp:lastModifiedBy>Sarah Shannon</cp:lastModifiedBy>
  <cp:revision>1</cp:revision>
  <dcterms:created xsi:type="dcterms:W3CDTF">2023-04-01T09:33:00Z</dcterms:created>
  <dcterms:modified xsi:type="dcterms:W3CDTF">2023-04-01T09:48:00Z</dcterms:modified>
</cp:coreProperties>
</file>